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rPr>
          <w:rFonts w:hint="default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</w:pPr>
      <w:bookmarkStart w:id="0" w:name="_Toc22436"/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>附件</w:t>
      </w:r>
      <w:bookmarkEnd w:id="0"/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660" w:lineRule="exact"/>
        <w:jc w:val="center"/>
        <w:rPr>
          <w:rStyle w:val="6"/>
          <w:rFonts w:hint="default" w:ascii="Times New Roman" w:hAnsi="Times New Roman" w:eastAsia="华文中宋" w:cs="Times New Roman"/>
          <w:b w:val="0"/>
          <w:bCs/>
          <w:color w:val="auto"/>
          <w:sz w:val="36"/>
          <w:szCs w:val="36"/>
        </w:rPr>
      </w:pPr>
      <w:bookmarkStart w:id="1" w:name="_GoBack"/>
      <w:r>
        <w:rPr>
          <w:rFonts w:hint="default" w:ascii="方正小标宋简体" w:hAnsi="方正小标宋简体" w:eastAsia="方正小标宋简体" w:cs="方正小标宋简体"/>
          <w:b w:val="0"/>
          <w:bCs/>
          <w:kern w:val="44"/>
          <w:sz w:val="44"/>
          <w:szCs w:val="44"/>
          <w:highlight w:val="none"/>
          <w:lang w:val="en-US" w:eastAsia="zh-CN" w:bidi="ar-SA"/>
        </w:rPr>
        <w:t>参赛项目计划书（参考模板）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60" w:lineRule="exact"/>
        <w:jc w:val="center"/>
        <w:rPr>
          <w:rStyle w:val="6"/>
          <w:rFonts w:hint="default" w:ascii="Times New Roman" w:hAnsi="Times New Roman" w:eastAsia="华文中宋" w:cs="Times New Roman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60" w:lineRule="exact"/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60" w:lineRule="exact"/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项  目  名  称：_______________________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60" w:lineRule="exact"/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60" w:lineRule="exact"/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项目负责人姓名：</w:t>
      </w:r>
      <w:r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（签字，公章）</w:t>
      </w:r>
      <w:r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60" w:lineRule="exact"/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60" w:lineRule="exact"/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通  讯  地  址：_______________________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60" w:lineRule="exact"/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60" w:lineRule="exact"/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联  系  电  话：_______________________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60" w:lineRule="exact"/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60" w:lineRule="exact"/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电  子  邮  箱：_______________________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60" w:lineRule="exact"/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60" w:lineRule="exact"/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60" w:lineRule="exact"/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660" w:lineRule="exact"/>
        <w:jc w:val="center"/>
        <w:rPr>
          <w:rStyle w:val="6"/>
          <w:rFonts w:hint="default" w:ascii="Times New Roman" w:hAnsi="Times New Roman" w:eastAsia="华文中宋" w:cs="Times New Roman"/>
          <w:b/>
          <w:bCs/>
          <w:color w:val="auto"/>
          <w:sz w:val="36"/>
          <w:szCs w:val="36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  <w:br w:type="page"/>
      </w:r>
      <w:r>
        <w:rPr>
          <w:rStyle w:val="6"/>
          <w:rFonts w:hint="default" w:ascii="Times New Roman" w:hAnsi="Times New Roman" w:eastAsia="华文中宋" w:cs="Times New Roman"/>
          <w:b w:val="0"/>
          <w:bCs w:val="0"/>
          <w:color w:val="auto"/>
          <w:sz w:val="36"/>
          <w:szCs w:val="36"/>
        </w:rPr>
        <w:t>参赛项目计划书</w:t>
      </w:r>
      <w:r>
        <w:rPr>
          <w:rStyle w:val="6"/>
          <w:rFonts w:hint="default" w:ascii="Times New Roman" w:hAnsi="Times New Roman" w:eastAsia="华文中宋" w:cs="Times New Roman"/>
          <w:b w:val="0"/>
          <w:bCs w:val="0"/>
          <w:color w:val="auto"/>
          <w:sz w:val="36"/>
          <w:szCs w:val="36"/>
          <w:lang w:val="en-US" w:eastAsia="zh-CN"/>
        </w:rPr>
        <w:t>内容</w:t>
      </w:r>
    </w:p>
    <w:tbl>
      <w:tblPr>
        <w:tblStyle w:val="4"/>
        <w:tblW w:w="9098" w:type="dxa"/>
        <w:tblInd w:w="-3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3"/>
        <w:gridCol w:w="685"/>
        <w:gridCol w:w="1537"/>
        <w:gridCol w:w="1621"/>
        <w:gridCol w:w="1621"/>
        <w:gridCol w:w="16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参赛项目名称</w:t>
            </w:r>
          </w:p>
        </w:tc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产品</w:t>
            </w: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  <w:t>或</w:t>
            </w: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服务</w:t>
            </w:r>
          </w:p>
        </w:tc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jc w:val="both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说明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产品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或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服务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的主要内容、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市场需求、目标客户及其对应的细分市场）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  <w:t>核心团队</w:t>
            </w:r>
          </w:p>
        </w:tc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（介绍创始和运营管理团队的履历背景、经验、能力、专长以及股权分配、组织架构和岗位职责分工）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  <w:t>竞争力</w:t>
            </w:r>
          </w:p>
        </w:tc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（如果产品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或服务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已经在市场上形成了竞争优势，请说明与哪些因素有关。如成本相同但销售价格低、成本低形成销售价格优势、以及产品性能、品牌、销售渠道优于竞争对手等，描述所属行业市场地位及主要竞争对手、竞争对手分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  <w:t>创新性</w:t>
            </w:r>
          </w:p>
        </w:tc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说明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产品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或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服务的背景、目前所处发展阶段、与同行业其它公司同类产品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或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服务的比较，本公司产品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或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服务的新颖性、先进性和独特性等）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  <w:t>成长性</w:t>
            </w:r>
          </w:p>
        </w:tc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说明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市场定位，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主营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收入和利润增长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速度，产品或服务的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前景分析与预测，进入该行业的技术壁垒、政策限制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等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商业模式</w:t>
            </w:r>
          </w:p>
        </w:tc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（阐明项目或企业盈利方式和途径，并具独特性和差异化。商业模式需清晰说明价值主张、消费者目标群体、分销渠道、客户关系、现金流与利润、核心资源与资金人才、重要合伙人、成本架构等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8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个方面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  <w:t>可持续发展</w:t>
            </w:r>
          </w:p>
        </w:tc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说明在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践行绿色发展理念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方面的成果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，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绿色产品类主要包括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研制绿色投入品、研发绿色生产技术、发展绿色产后增值技术、创新绿色低碳种养结构与技术模式、加强农业绿色发展基础研究、完善绿色标准体系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等方面的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具体成果；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绿色服务类包括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销售产品的标准化、规模化生产、品牌化销售、促进供应链绿色生产等方面的具体作用）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  <w:t>投资价值</w:t>
            </w:r>
          </w:p>
        </w:tc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说明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产品市场概况，市场需求程度，规模及增长趋势，未来市场销售预测，需要融资金额，付出的股份比例及资金大致用途）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  <w:t>联农带农</w:t>
            </w:r>
          </w:p>
        </w:tc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说明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带动农户增收致富情况；带动农民就业人数、培养新型农村实用人才情况以及对地方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乡村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产业的引领和示范作用等）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经营风险与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对策</w:t>
            </w:r>
          </w:p>
        </w:tc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（包括政策风险、技术开发风险、经营管理风险、市场开拓风险、生产风险、财务风险、汇率风险、对公司关键人员依赖的风险等，提出有效的风险控制和防范手段）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26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项目管理模式</w:t>
            </w:r>
          </w:p>
        </w:tc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对管理层及关键人员是否将采取股权激励机制？（□是/□否）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269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是否考虑员工持股问题？（□是/□否）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69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（机构设置，员工持股，劳动合同，知识产权管理情况等）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业务拓展计划</w:t>
            </w:r>
          </w:p>
        </w:tc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（在建立销售网络、销售渠道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等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方面的策略；在广告促销方面的策略；在产品销售价格方面的策略；在建立良好销售队伍方面的策略；如何保证销售策略具体实施的有效性；对销售队伍采取什么样的激励机制）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其他技术、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产品及服务</w:t>
            </w:r>
          </w:p>
        </w:tc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90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注意：以下财务数据是创业项目的整体财务数据，金额单位为万元（人民币），金额和百分比均四舍五入取整数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历史财务数据</w:t>
            </w: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2019年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2020年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主营业务收入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主营业务成本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主营业务税金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主营业务利润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净利润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净利润率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财务预测</w:t>
            </w: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2022年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2023年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2024年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主营业务收入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主营业务成本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主营业务税金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主营业务利润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净利润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净利润率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融资经历（可自行增加行数）</w:t>
            </w:r>
          </w:p>
        </w:tc>
        <w:tc>
          <w:tcPr>
            <w:tcW w:w="70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股权融资（□是/□否）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投资人/投资机构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所占股权比例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融资金额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融资时间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债权融资（□是/□否）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出借方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贷款启动时间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贷款金额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贷款结束时间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金融服务需求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（可多选）</w:t>
            </w:r>
          </w:p>
        </w:tc>
        <w:tc>
          <w:tcPr>
            <w:tcW w:w="70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 w:firstLine="240" w:firstLineChars="10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□并购        □上市股改        □政策咨询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 w:firstLine="240" w:firstLineChars="10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□农技咨询    □技术引进        □技术转让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 w:firstLine="240" w:firstLineChars="10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□产权转让    □银行贷款        □融资担保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 w:firstLine="240" w:firstLineChars="10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□小额贷款: 额度______（万元人民币）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 w:firstLine="240" w:firstLineChars="10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□企业债券发行      □中小企业集合债券发行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 w:firstLine="240" w:firstLineChars="10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□资产管理    □金融租赁        □科技保险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 w:firstLine="240" w:firstLineChars="10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□中介咨询: □法律  □财务  □融资  □管理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 w:firstLine="240" w:firstLineChars="10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□其他服务需求：________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/>
              <w:ind w:left="0" w:right="0" w:firstLine="240" w:firstLineChars="10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60" w:lineRule="exact"/>
        <w:rPr>
          <w:rFonts w:hint="default" w:ascii="Times New Roman" w:hAnsi="Times New Roman" w:cs="Times New Roman"/>
          <w:color w:val="auto"/>
        </w:rPr>
      </w:pPr>
      <w:r>
        <w:rPr>
          <w:rStyle w:val="6"/>
          <w:rFonts w:hint="default" w:ascii="Times New Roman" w:hAnsi="Times New Roman" w:eastAsia="仿宋" w:cs="Times New Roman"/>
          <w:color w:val="auto"/>
          <w:sz w:val="28"/>
          <w:szCs w:val="28"/>
        </w:rPr>
        <w:t>注：参赛项目计划书总字数应在3000字左右。</w:t>
      </w:r>
    </w:p>
    <w:p>
      <w:pPr>
        <w:jc w:val="both"/>
        <w:rPr>
          <w:rFonts w:hint="eastAsia" w:ascii="宋体" w:hAnsi="宋体" w:eastAsia="宋体" w:cs="宋体"/>
          <w:bCs/>
          <w:kern w:val="44"/>
          <w:sz w:val="24"/>
          <w:szCs w:val="24"/>
          <w:highlight w:val="none"/>
          <w:lang w:val="en-US" w:eastAsia="zh-CN" w:bidi="ar-SA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rPr>
        <w:rFonts w:ascii="Calibri" w:hAnsi="Calibri" w:eastAsia="Calibri" w:cs="Calibri"/>
        <w:sz w:val="23"/>
        <w:szCs w:val="23"/>
      </w:rPr>
    </w:pPr>
    <w:r>
      <w:rPr>
        <w:sz w:val="2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MmY2YzUwZDhjOGZkNzFjNjYwYWI2Nzc1NTEyMjMifQ=="/>
  </w:docVars>
  <w:rsids>
    <w:rsidRoot w:val="3C4271E0"/>
    <w:rsid w:val="3C4271E0"/>
    <w:rsid w:val="5F32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20" w:after="210" w:line="560" w:lineRule="exact"/>
      <w:jc w:val="left"/>
      <w:outlineLvl w:val="0"/>
    </w:pPr>
    <w:rPr>
      <w:rFonts w:eastAsia="黑体"/>
      <w:bCs/>
      <w:kern w:val="44"/>
      <w:sz w:val="32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2022-08-20T03:36:00Z</dcterms:created>
  <dc:creator>沐沐</dc:creator>
  <cp:lastModifiedBy>黄锡榜（厚德自强，创新不息）</cp:lastModifiedBy>
  <dcterms:modified xsi:type="dcterms:W3CDTF">2022-09-22T09:01:34Z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2B633D4C6435430F9282EE5316FD7AEF</vt:lpwstr>
  </property>
</Properties>
</file>